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READING OUTCOMES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 the end of the academic year students will be able to: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1292"/>
        <w:tblW w:w="1516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"/>
        <w:gridCol w:w="2679"/>
        <w:gridCol w:w="2373"/>
        <w:gridCol w:w="2524"/>
        <w:gridCol w:w="2242"/>
        <w:gridCol w:w="2305"/>
        <w:gridCol w:w="2603"/>
        <w:tblGridChange w:id="0">
          <w:tblGrid>
            <w:gridCol w:w="441"/>
            <w:gridCol w:w="2679"/>
            <w:gridCol w:w="2373"/>
            <w:gridCol w:w="2524"/>
            <w:gridCol w:w="2242"/>
            <w:gridCol w:w="2305"/>
            <w:gridCol w:w="26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A1-A2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A2+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B1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B1+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B2+ </w:t>
            </w:r>
          </w:p>
        </w:tc>
      </w:tr>
      <w:tr>
        <w:trPr>
          <w:cantSplit w:val="0"/>
          <w:trHeight w:val="130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overall content of simple, short texts containing familiar vocabulary and everyday subjects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overall content of short texts with a wider range of vocabulary on factual topics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content of variety of texts on factual topics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content of variety of texts on both familiar and unfamiliar topics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content of variety of texts on both familiar and unfamiliar topics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topic and content of variety of texts on familiar/unfamiliar or abstract 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Identify/ Understand gist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Identify/Understand gist/ main idea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the topic, main idea, supporting ideas, and examples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the topic, main idea, supporting ideas, and examples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the topic, main idea, supporting ideas, and examples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the topic, main ideas, supporting ideas and examples of variety of  texts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and/or key information from short texts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and/or key information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and examples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specific information/details and examples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simple predictions or guesses about the content of short texts based on visual cues or context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predictions about the content of longer texts based on visual cues, context, headings or subheadings, identify the writer’s purpose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inferences based on information, identify the writer’s purpose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inferences based on information, identify the writer’s purpose, tone and/or attitude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inferences and draw conclusions, understand the writer’s purpose, tone and/or attitude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Make inferences and draw conclusions, understand the writer’s purpose, tone and/or attitude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text cohesion and the relationship between ideas and sentences within the text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text cohesion and the relationship between ideas and sentences within the text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text cohesion and the relationship between ideas and sentences within the text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Follow text coherence, relationship between ideas and sentences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Follow text coherence, relationship between ideas and sentences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order of events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order of events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order of events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Understand the structure/organization and purpose  of different text types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Analyze the structure,  organization and purpose of different text types by analyzing word choice and transitions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Become aware of  the structure, organization of  and purpose of different text types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Read and interpret data from simple graphs or charts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Interpret graphs and charts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Interpret graphs and charts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Guess the meaning of  some unfamiliar vocabulary and expressions using context clues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Guess the meaning of  unfamiliar vocabulary and expressions using context clues and recognizing synonyms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Guess the meaning of unfamiliar vocabulary and expressions using context clues and recognizing synonyms and paraphrases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syntax and structural analysis to determine the meaning of unknown words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syntax and structural analysis to determine the meaning of unknown words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clear reference words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clear reference words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more complex reference words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complex referencing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Identify complex referencing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Use the main ideas and supporting details to write a summary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Write a summary of what is read by synthesizing  different sources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FD56B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FD56B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FD56B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FD56B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FD56B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FD56B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FD56B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FD56B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FD56B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FD56B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FD56B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FD56B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FD56B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FD56BE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FD56BE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FD56BE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FD56BE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FD56BE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FD56B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FD56B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FD56B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FD56B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FD56B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FD56BE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FD56BE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FD56BE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FD56B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FD56BE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FD56BE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1F1C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D75D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D75D9"/>
    <w:rPr>
      <w:rFonts w:ascii="Segoe UI" w:cs="Segoe UI" w:hAnsi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551109"/>
    <w:pPr>
      <w:tabs>
        <w:tab w:val="center" w:pos="4703"/>
        <w:tab w:val="right" w:pos="9406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551109"/>
  </w:style>
  <w:style w:type="paragraph" w:styleId="AltBilgi">
    <w:name w:val="footer"/>
    <w:basedOn w:val="Normal"/>
    <w:link w:val="AltBilgiChar"/>
    <w:uiPriority w:val="99"/>
    <w:unhideWhenUsed w:val="1"/>
    <w:rsid w:val="00551109"/>
    <w:pPr>
      <w:tabs>
        <w:tab w:val="center" w:pos="4703"/>
        <w:tab w:val="right" w:pos="9406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55110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0SxEskb6QARLqexD+EQ7zCRv4Q==">CgMxLjA4AHIhMUFONG1GNkJqUDZ3M25laUFrd19aNDQyekVRbzNVZW9i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2024-03-06T10:47:00Z</dcterms:created>
  <dc:creator>Öğr. Gör. Ayşe Fırat DALAK ATAÖZÜ</dc:creator>
</cp:coreProperties>
</file>